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51CC" w14:textId="77777777" w:rsidR="00B35972" w:rsidRPr="00C92331" w:rsidRDefault="009830C8" w:rsidP="00C92331">
      <w:pPr>
        <w:spacing w:after="0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 w:rsidRPr="00C9233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9A7D6E" wp14:editId="69CAB941">
            <wp:simplePos x="0" y="0"/>
            <wp:positionH relativeFrom="column">
              <wp:posOffset>-547370</wp:posOffset>
            </wp:positionH>
            <wp:positionV relativeFrom="paragraph">
              <wp:posOffset>-709295</wp:posOffset>
            </wp:positionV>
            <wp:extent cx="1304925" cy="695325"/>
            <wp:effectExtent l="0" t="0" r="9525" b="9525"/>
            <wp:wrapSquare wrapText="bothSides"/>
            <wp:docPr id="2" name="image1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33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2A9564" wp14:editId="40B1D7FF">
            <wp:simplePos x="0" y="0"/>
            <wp:positionH relativeFrom="column">
              <wp:posOffset>5243830</wp:posOffset>
            </wp:positionH>
            <wp:positionV relativeFrom="paragraph">
              <wp:posOffset>-814070</wp:posOffset>
            </wp:positionV>
            <wp:extent cx="942975" cy="857250"/>
            <wp:effectExtent l="0" t="0" r="0" b="0"/>
            <wp:wrapSquare wrapText="bothSides"/>
            <wp:docPr id="3" name="image2.png" descr="Obsah obrázku přenosný počítač, černá, počítač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sah obrázku přenosný počítač, černá, počítač&#10;&#10;Popis byl vytvořen automaticky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72" w:rsidRPr="00C92331">
        <w:rPr>
          <w:rFonts w:cstheme="minorHAnsi"/>
          <w:b/>
          <w:color w:val="365F91" w:themeColor="accent1" w:themeShade="BF"/>
          <w:sz w:val="28"/>
          <w:szCs w:val="24"/>
        </w:rPr>
        <w:t>Česká odborná společnost klinické farmacie</w:t>
      </w:r>
      <w:r w:rsidRPr="00C92331">
        <w:rPr>
          <w:rFonts w:cstheme="minorHAnsi"/>
          <w:noProof/>
          <w:sz w:val="24"/>
          <w:szCs w:val="24"/>
        </w:rPr>
        <w:t xml:space="preserve"> </w:t>
      </w:r>
    </w:p>
    <w:p w14:paraId="6C86BDBF" w14:textId="77777777" w:rsidR="00B35972" w:rsidRPr="00C92331" w:rsidRDefault="00B35972" w:rsidP="00C92331">
      <w:pPr>
        <w:spacing w:after="0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 w:rsidRPr="00C92331">
        <w:rPr>
          <w:rFonts w:cstheme="minorHAnsi"/>
          <w:b/>
          <w:color w:val="365F91" w:themeColor="accent1" w:themeShade="BF"/>
          <w:sz w:val="28"/>
          <w:szCs w:val="24"/>
        </w:rPr>
        <w:t>ČLS JEP</w:t>
      </w:r>
    </w:p>
    <w:p w14:paraId="082A42E6" w14:textId="77777777" w:rsidR="00B35972" w:rsidRPr="00C92331" w:rsidRDefault="00B35972" w:rsidP="00C92331">
      <w:pPr>
        <w:spacing w:after="0"/>
        <w:jc w:val="center"/>
        <w:rPr>
          <w:rFonts w:cstheme="minorHAnsi"/>
          <w:b/>
          <w:color w:val="365F91" w:themeColor="accent1" w:themeShade="BF"/>
          <w:sz w:val="28"/>
          <w:szCs w:val="24"/>
        </w:rPr>
      </w:pPr>
      <w:r w:rsidRPr="00C92331">
        <w:rPr>
          <w:rFonts w:cstheme="minorHAnsi"/>
          <w:b/>
          <w:color w:val="365F91" w:themeColor="accent1" w:themeShade="BF"/>
          <w:sz w:val="28"/>
          <w:szCs w:val="24"/>
        </w:rPr>
        <w:t>Pracovní skupina pro ředění a podávání léčiv</w:t>
      </w:r>
    </w:p>
    <w:p w14:paraId="230D4467" w14:textId="77777777" w:rsidR="00780C88" w:rsidRDefault="00780C88" w:rsidP="00C92331">
      <w:pPr>
        <w:spacing w:after="0"/>
        <w:jc w:val="both"/>
        <w:rPr>
          <w:rFonts w:cstheme="minorHAnsi"/>
          <w:b/>
          <w:sz w:val="28"/>
        </w:rPr>
      </w:pPr>
    </w:p>
    <w:p w14:paraId="63CA3907" w14:textId="746A09F7" w:rsidR="004B62F4" w:rsidRPr="00C92331" w:rsidRDefault="00B35972" w:rsidP="00C92331">
      <w:pPr>
        <w:spacing w:after="0"/>
        <w:jc w:val="both"/>
        <w:rPr>
          <w:rFonts w:cstheme="minorHAnsi"/>
          <w:b/>
          <w:sz w:val="28"/>
        </w:rPr>
      </w:pPr>
      <w:r w:rsidRPr="00C92331">
        <w:rPr>
          <w:rFonts w:cstheme="minorHAnsi"/>
          <w:b/>
          <w:sz w:val="28"/>
        </w:rPr>
        <w:t>Návod k</w:t>
      </w:r>
      <w:r w:rsidR="004B62F4" w:rsidRPr="00C92331">
        <w:rPr>
          <w:rFonts w:cstheme="minorHAnsi"/>
          <w:b/>
          <w:sz w:val="28"/>
        </w:rPr>
        <w:t> </w:t>
      </w:r>
      <w:r w:rsidRPr="00C92331">
        <w:rPr>
          <w:rFonts w:cstheme="minorHAnsi"/>
          <w:b/>
          <w:sz w:val="28"/>
        </w:rPr>
        <w:t>tabulce</w:t>
      </w:r>
      <w:r w:rsidR="004B62F4" w:rsidRPr="00C92331">
        <w:rPr>
          <w:rFonts w:cstheme="minorHAnsi"/>
          <w:b/>
          <w:sz w:val="28"/>
        </w:rPr>
        <w:t xml:space="preserve"> ředění a podávání léčiv</w:t>
      </w:r>
    </w:p>
    <w:p w14:paraId="399C6B7B" w14:textId="77777777" w:rsidR="00811E4F" w:rsidRDefault="00811E4F" w:rsidP="00C92331">
      <w:pPr>
        <w:spacing w:after="0"/>
        <w:jc w:val="both"/>
      </w:pPr>
    </w:p>
    <w:p w14:paraId="7ED389D2" w14:textId="6CD1ABEF" w:rsidR="00811E4F" w:rsidRDefault="00811E4F" w:rsidP="00C92331">
      <w:pPr>
        <w:spacing w:after="0"/>
        <w:jc w:val="both"/>
      </w:pPr>
      <w:r>
        <w:t xml:space="preserve">verze 0.3., </w:t>
      </w:r>
      <w:r w:rsidR="004A2519">
        <w:t>20</w:t>
      </w:r>
      <w:r>
        <w:t xml:space="preserve">. </w:t>
      </w:r>
      <w:r w:rsidR="004A2519">
        <w:t>2</w:t>
      </w:r>
      <w:r>
        <w:t xml:space="preserve">. 2024 </w:t>
      </w:r>
    </w:p>
    <w:p w14:paraId="32E67E60" w14:textId="77777777" w:rsidR="00811E4F" w:rsidRDefault="00811E4F" w:rsidP="00C92331">
      <w:pPr>
        <w:spacing w:after="0"/>
        <w:jc w:val="both"/>
      </w:pPr>
    </w:p>
    <w:p w14:paraId="6802AC1F" w14:textId="77777777" w:rsidR="00811E4F" w:rsidRDefault="00811E4F" w:rsidP="00C92331">
      <w:pPr>
        <w:spacing w:after="0"/>
        <w:jc w:val="both"/>
      </w:pPr>
      <w:r>
        <w:t>Tabulka ředění a podávání léčiv (verze 0.5_14052020) obsahuje informace čerpané ze Souhrnu údajů o přípravku (SPC) registrovaných v ČR.</w:t>
      </w:r>
    </w:p>
    <w:p w14:paraId="6B83CF45" w14:textId="77777777" w:rsidR="00811E4F" w:rsidRDefault="00811E4F" w:rsidP="00C92331">
      <w:pPr>
        <w:spacing w:after="0"/>
        <w:jc w:val="both"/>
      </w:pPr>
    </w:p>
    <w:p w14:paraId="7802B666" w14:textId="1062773A" w:rsidR="00B65CC6" w:rsidRDefault="00811E4F" w:rsidP="00C92331">
      <w:pPr>
        <w:spacing w:after="0"/>
        <w:jc w:val="both"/>
        <w:rPr>
          <w:rFonts w:cstheme="minorHAnsi"/>
          <w:b/>
          <w:color w:val="365F91" w:themeColor="accent1" w:themeShade="BF"/>
          <w:sz w:val="28"/>
          <w:szCs w:val="24"/>
        </w:rPr>
      </w:pPr>
      <w:r>
        <w:t xml:space="preserve">Je-li rámeček v tabulce proškrtnut (-), SPC se </w:t>
      </w:r>
      <w:r w:rsidR="00E03FCF">
        <w:t xml:space="preserve">k danému </w:t>
      </w:r>
      <w:r>
        <w:t>nevyjadřuje</w:t>
      </w:r>
      <w:r w:rsidR="00E03FCF">
        <w:t>, informace zde nejsou jednoznačně uvedeny</w:t>
      </w:r>
      <w:r>
        <w:t>.</w:t>
      </w:r>
    </w:p>
    <w:p w14:paraId="46BAD8FA" w14:textId="77777777" w:rsidR="00811E4F" w:rsidRDefault="00811E4F" w:rsidP="00C92331">
      <w:pPr>
        <w:spacing w:after="0"/>
        <w:jc w:val="both"/>
        <w:rPr>
          <w:rFonts w:cstheme="minorHAnsi"/>
          <w:b/>
          <w:color w:val="365F91" w:themeColor="accent1" w:themeShade="BF"/>
          <w:sz w:val="28"/>
          <w:szCs w:val="24"/>
        </w:rPr>
      </w:pPr>
      <w:bookmarkStart w:id="0" w:name="_GoBack"/>
      <w:bookmarkEnd w:id="0"/>
    </w:p>
    <w:p w14:paraId="6D4CE0F7" w14:textId="036A27C9" w:rsidR="009E7285" w:rsidRPr="00C92331" w:rsidRDefault="00B35972" w:rsidP="00C92331">
      <w:pPr>
        <w:spacing w:after="0"/>
        <w:jc w:val="both"/>
        <w:rPr>
          <w:rFonts w:cstheme="minorHAnsi"/>
          <w:b/>
          <w:color w:val="365F91" w:themeColor="accent1" w:themeShade="BF"/>
          <w:sz w:val="28"/>
          <w:szCs w:val="24"/>
        </w:rPr>
      </w:pPr>
      <w:r w:rsidRPr="00C92331">
        <w:rPr>
          <w:rFonts w:cstheme="minorHAnsi"/>
          <w:b/>
          <w:color w:val="365F91" w:themeColor="accent1" w:themeShade="BF"/>
          <w:sz w:val="28"/>
          <w:szCs w:val="24"/>
        </w:rPr>
        <w:t>Záhlaví tabulky:</w:t>
      </w:r>
    </w:p>
    <w:p w14:paraId="2FB70747" w14:textId="2CC047AC" w:rsidR="00B35972" w:rsidRPr="00C92331" w:rsidRDefault="00B35972" w:rsidP="00C92331">
      <w:pPr>
        <w:spacing w:after="0"/>
        <w:jc w:val="both"/>
        <w:rPr>
          <w:rFonts w:cstheme="minorHAnsi"/>
          <w:b/>
          <w:sz w:val="24"/>
          <w:szCs w:val="24"/>
        </w:rPr>
      </w:pPr>
      <w:r w:rsidRPr="00C92331">
        <w:rPr>
          <w:rFonts w:cstheme="minorHAnsi"/>
          <w:b/>
          <w:sz w:val="24"/>
          <w:szCs w:val="24"/>
        </w:rPr>
        <w:t xml:space="preserve">Název </w:t>
      </w:r>
      <w:r w:rsidR="004B62F4" w:rsidRPr="00C92331">
        <w:rPr>
          <w:rFonts w:cstheme="minorHAnsi"/>
          <w:b/>
          <w:sz w:val="24"/>
          <w:szCs w:val="24"/>
        </w:rPr>
        <w:t>léčivé</w:t>
      </w:r>
      <w:r w:rsidRPr="00C92331">
        <w:rPr>
          <w:rFonts w:cstheme="minorHAnsi"/>
          <w:b/>
          <w:sz w:val="24"/>
          <w:szCs w:val="24"/>
        </w:rPr>
        <w:t xml:space="preserve"> látky</w:t>
      </w:r>
    </w:p>
    <w:p w14:paraId="1B9F0629" w14:textId="77777777" w:rsidR="00B35972" w:rsidRPr="00C92331" w:rsidRDefault="00B35972" w:rsidP="00C9233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abecední řazení</w:t>
      </w:r>
    </w:p>
    <w:p w14:paraId="52DC47AD" w14:textId="17A6E8E0" w:rsidR="00B35972" w:rsidRPr="003F78A6" w:rsidRDefault="00B35972" w:rsidP="003F78A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 xml:space="preserve">názvy solí jsou v tabulce uvedeny latinsky – </w:t>
      </w:r>
      <w:r w:rsidR="00B65CC6">
        <w:rPr>
          <w:rFonts w:cstheme="minorHAnsi"/>
          <w:sz w:val="24"/>
          <w:szCs w:val="24"/>
        </w:rPr>
        <w:t>na</w:t>
      </w:r>
      <w:r w:rsidRPr="00C92331">
        <w:rPr>
          <w:rFonts w:cstheme="minorHAnsi"/>
          <w:sz w:val="24"/>
          <w:szCs w:val="24"/>
        </w:rPr>
        <w:t>př.:</w:t>
      </w:r>
    </w:p>
    <w:p w14:paraId="67B6A012" w14:textId="5B8FC2EF" w:rsidR="00B35972" w:rsidRPr="00C92331" w:rsidRDefault="00B35972" w:rsidP="00C92331">
      <w:pPr>
        <w:pStyle w:val="Odstavecseseznamem"/>
        <w:numPr>
          <w:ilvl w:val="0"/>
          <w:numId w:val="7"/>
        </w:numPr>
        <w:spacing w:after="0"/>
        <w:ind w:left="1068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kalium chlorid – chlorid draselný</w:t>
      </w:r>
    </w:p>
    <w:p w14:paraId="6427C5C7" w14:textId="135F0A59" w:rsidR="00B35972" w:rsidRPr="00C92331" w:rsidRDefault="00B35972" w:rsidP="00C92331">
      <w:pPr>
        <w:pStyle w:val="Odstavecseseznamem"/>
        <w:numPr>
          <w:ilvl w:val="0"/>
          <w:numId w:val="7"/>
        </w:numPr>
        <w:spacing w:after="0"/>
        <w:ind w:left="1068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 xml:space="preserve">magnesium </w:t>
      </w:r>
      <w:r w:rsidR="00B65CC6" w:rsidRPr="00B65CC6">
        <w:rPr>
          <w:rFonts w:cstheme="minorHAnsi"/>
          <w:sz w:val="24"/>
          <w:szCs w:val="24"/>
        </w:rPr>
        <w:t>sulfát – síran</w:t>
      </w:r>
      <w:r w:rsidRPr="00C92331">
        <w:rPr>
          <w:rFonts w:cstheme="minorHAnsi"/>
          <w:sz w:val="24"/>
          <w:szCs w:val="24"/>
        </w:rPr>
        <w:t xml:space="preserve"> hořečnatý</w:t>
      </w:r>
    </w:p>
    <w:p w14:paraId="64DB4B11" w14:textId="711D0DB9" w:rsidR="00B35972" w:rsidRPr="00C92331" w:rsidRDefault="00B35972" w:rsidP="00C92331">
      <w:pPr>
        <w:pStyle w:val="Odstavecseseznamem"/>
        <w:numPr>
          <w:ilvl w:val="0"/>
          <w:numId w:val="7"/>
        </w:numPr>
        <w:spacing w:after="0"/>
        <w:ind w:left="1068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natrium chlorid – chlorid sodný</w:t>
      </w:r>
    </w:p>
    <w:p w14:paraId="4BDBBAF8" w14:textId="61796046" w:rsidR="00B35972" w:rsidRPr="00C92331" w:rsidRDefault="00B35972" w:rsidP="00C92331">
      <w:pPr>
        <w:pStyle w:val="Odstavecseseznamem"/>
        <w:numPr>
          <w:ilvl w:val="0"/>
          <w:numId w:val="7"/>
        </w:numPr>
        <w:spacing w:after="0"/>
        <w:ind w:left="1068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výj. natrium hydrogenfosfát – preparát Ardeaelytosol Concentrata</w:t>
      </w:r>
    </w:p>
    <w:p w14:paraId="47A0963B" w14:textId="7B8F52BE" w:rsidR="00B35972" w:rsidRPr="00C92331" w:rsidRDefault="00B35972" w:rsidP="00C92331">
      <w:pPr>
        <w:spacing w:after="0"/>
        <w:ind w:left="1068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Natriumhydrogenfosfát 8.</w:t>
      </w:r>
      <w:proofErr w:type="gramStart"/>
      <w:r w:rsidRPr="00C92331">
        <w:rPr>
          <w:rFonts w:cstheme="minorHAnsi"/>
          <w:sz w:val="24"/>
          <w:szCs w:val="24"/>
        </w:rPr>
        <w:t>7%</w:t>
      </w:r>
      <w:proofErr w:type="gramEnd"/>
      <w:r w:rsidRPr="00C92331">
        <w:rPr>
          <w:rFonts w:cstheme="minorHAnsi"/>
          <w:sz w:val="24"/>
          <w:szCs w:val="24"/>
        </w:rPr>
        <w:t xml:space="preserve"> inf cnc sol (složení: dihydrát dinatrium-edetátu, dihydrát dihydrogenfosforečnanu sodného, dodekahydráthydrogenfosforečnanu sodného)</w:t>
      </w:r>
      <w:r w:rsidR="00DA0C6E">
        <w:rPr>
          <w:rFonts w:cstheme="minorHAnsi"/>
          <w:sz w:val="24"/>
          <w:szCs w:val="24"/>
        </w:rPr>
        <w:t xml:space="preserve"> a vápenaté soli – uváděny jako „kalcium“ (lat. calcium)</w:t>
      </w:r>
    </w:p>
    <w:p w14:paraId="63066016" w14:textId="3F623CD6" w:rsidR="00B35972" w:rsidRPr="00C92331" w:rsidRDefault="00B35972" w:rsidP="00C9233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92331">
        <w:rPr>
          <w:rFonts w:cstheme="minorHAnsi"/>
          <w:sz w:val="24"/>
          <w:szCs w:val="24"/>
        </w:rPr>
        <w:t>názvy vitaminů jsou v tabulce označeny obecně, tj. vitamin C, K, aj.</w:t>
      </w:r>
    </w:p>
    <w:p w14:paraId="73825552" w14:textId="77777777" w:rsidR="009E7285" w:rsidRDefault="009E7285" w:rsidP="00C9233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6A12228" w14:textId="27409434" w:rsidR="00B35972" w:rsidRPr="00951E00" w:rsidRDefault="00B35972" w:rsidP="00C92331">
      <w:pPr>
        <w:spacing w:after="0"/>
        <w:jc w:val="both"/>
        <w:rPr>
          <w:rFonts w:cstheme="minorHAnsi"/>
          <w:b/>
          <w:sz w:val="24"/>
          <w:szCs w:val="24"/>
        </w:rPr>
      </w:pPr>
      <w:r w:rsidRPr="00951E00">
        <w:rPr>
          <w:rFonts w:cstheme="minorHAnsi"/>
          <w:b/>
          <w:sz w:val="24"/>
          <w:szCs w:val="24"/>
        </w:rPr>
        <w:t>Název léčivého přípravku</w:t>
      </w:r>
    </w:p>
    <w:p w14:paraId="6EA81D2A" w14:textId="785B425F" w:rsidR="00B35972" w:rsidRPr="00951E00" w:rsidRDefault="009E7285" w:rsidP="00C9233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1E00">
        <w:rPr>
          <w:rFonts w:cstheme="minorHAnsi"/>
          <w:sz w:val="24"/>
          <w:szCs w:val="24"/>
        </w:rPr>
        <w:t>tj</w:t>
      </w:r>
      <w:r w:rsidR="00B35972" w:rsidRPr="00951E00">
        <w:rPr>
          <w:rFonts w:cstheme="minorHAnsi"/>
          <w:sz w:val="24"/>
          <w:szCs w:val="24"/>
        </w:rPr>
        <w:t>. konkrétní název léčivého přípravku, pro který jsou data o ředění a podávání zpracována</w:t>
      </w:r>
      <w:r w:rsidR="00B65CC6">
        <w:rPr>
          <w:rFonts w:cstheme="minorHAnsi"/>
          <w:sz w:val="24"/>
          <w:szCs w:val="24"/>
        </w:rPr>
        <w:t>.</w:t>
      </w:r>
    </w:p>
    <w:p w14:paraId="1CEF0E31" w14:textId="77777777" w:rsidR="009E7285" w:rsidRDefault="009E7285" w:rsidP="00C9233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73BCC8" w14:textId="4909EDA7" w:rsidR="00B35972" w:rsidRPr="00951E00" w:rsidRDefault="00B35972" w:rsidP="00C92331">
      <w:pPr>
        <w:spacing w:after="0"/>
        <w:jc w:val="both"/>
        <w:rPr>
          <w:rFonts w:cstheme="minorHAnsi"/>
          <w:b/>
          <w:sz w:val="24"/>
          <w:szCs w:val="24"/>
        </w:rPr>
      </w:pPr>
      <w:r w:rsidRPr="00951E00">
        <w:rPr>
          <w:rFonts w:cstheme="minorHAnsi"/>
          <w:b/>
          <w:sz w:val="24"/>
          <w:szCs w:val="24"/>
        </w:rPr>
        <w:t>Bolus</w:t>
      </w:r>
    </w:p>
    <w:p w14:paraId="2BE83033" w14:textId="0973F9FB" w:rsidR="00583EE2" w:rsidRDefault="009E7285" w:rsidP="001D47E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1E00">
        <w:rPr>
          <w:rFonts w:cstheme="minorHAnsi"/>
          <w:sz w:val="24"/>
          <w:szCs w:val="24"/>
        </w:rPr>
        <w:t>v</w:t>
      </w:r>
      <w:r w:rsidR="00B35972" w:rsidRPr="00951E00">
        <w:rPr>
          <w:rFonts w:cstheme="minorHAnsi"/>
          <w:sz w:val="24"/>
          <w:szCs w:val="24"/>
        </w:rPr>
        <w:t>yjadřuje, zda lze daný léčivý přípravek podat bolusově</w:t>
      </w:r>
      <w:r w:rsidR="00583EE2">
        <w:rPr>
          <w:rFonts w:cstheme="minorHAnsi"/>
          <w:sz w:val="24"/>
          <w:szCs w:val="24"/>
        </w:rPr>
        <w:t>;</w:t>
      </w:r>
    </w:p>
    <w:p w14:paraId="6D1E2D7A" w14:textId="3D2233B7" w:rsidR="00B35972" w:rsidRPr="00951E00" w:rsidRDefault="00583EE2" w:rsidP="001D47EF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35972" w:rsidRPr="00951E00">
        <w:rPr>
          <w:rFonts w:cstheme="minorHAnsi"/>
          <w:sz w:val="24"/>
          <w:szCs w:val="24"/>
        </w:rPr>
        <w:t xml:space="preserve"> to buď intravenózně (i.v.), intramuskulárně (i.m.), subkutánně (s.c.), či epidurálně (epid.)</w:t>
      </w:r>
      <w:r w:rsidR="009E7285" w:rsidRPr="00951E00">
        <w:rPr>
          <w:rFonts w:cstheme="minorHAnsi"/>
          <w:sz w:val="24"/>
          <w:szCs w:val="24"/>
        </w:rPr>
        <w:t>;</w:t>
      </w:r>
    </w:p>
    <w:p w14:paraId="1B3C2CE2" w14:textId="68F63FCF" w:rsidR="00B65CC6" w:rsidRPr="00BC49E6" w:rsidRDefault="009E7285" w:rsidP="00BC49E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C49E6">
        <w:rPr>
          <w:rFonts w:cstheme="minorHAnsi"/>
          <w:sz w:val="24"/>
          <w:szCs w:val="24"/>
        </w:rPr>
        <w:t>p</w:t>
      </w:r>
      <w:r w:rsidR="00B35972" w:rsidRPr="00BC49E6">
        <w:rPr>
          <w:rFonts w:cstheme="minorHAnsi"/>
          <w:sz w:val="24"/>
          <w:szCs w:val="24"/>
        </w:rPr>
        <w:t>okud je léčivý přípravek vyroben jako roztok k okamžitému použití, tzv. „ready to use“, je v tabulce označen „RTU“.</w:t>
      </w:r>
    </w:p>
    <w:p w14:paraId="3F74E9FF" w14:textId="77777777" w:rsidR="009E7285" w:rsidRPr="00951E00" w:rsidRDefault="009E7285" w:rsidP="00951E0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B0C3C5F" w14:textId="7F39DC22" w:rsidR="001D47EF" w:rsidRPr="001D47EF" w:rsidRDefault="00B35972" w:rsidP="001D47EF">
      <w:pPr>
        <w:spacing w:after="0"/>
        <w:jc w:val="both"/>
        <w:rPr>
          <w:rFonts w:cstheme="minorHAnsi"/>
          <w:sz w:val="24"/>
          <w:szCs w:val="24"/>
        </w:rPr>
      </w:pPr>
      <w:r w:rsidRPr="00951E00">
        <w:rPr>
          <w:rFonts w:cstheme="minorHAnsi"/>
          <w:b/>
          <w:sz w:val="24"/>
          <w:szCs w:val="24"/>
        </w:rPr>
        <w:t>Roztoky pro přípravu infuzí</w:t>
      </w:r>
    </w:p>
    <w:p w14:paraId="65845FCD" w14:textId="28A64039" w:rsidR="001D47EF" w:rsidRPr="001D47EF" w:rsidRDefault="001D47EF" w:rsidP="001D47EF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1D47EF">
        <w:rPr>
          <w:rFonts w:cstheme="minorHAnsi"/>
          <w:sz w:val="24"/>
          <w:szCs w:val="24"/>
        </w:rPr>
        <w:lastRenderedPageBreak/>
        <w:t xml:space="preserve">byly vybrány 2 běžně dostupné/používané roztoky – fyziologický roztok (FR), 5% glukóza (G5%). </w:t>
      </w:r>
    </w:p>
    <w:p w14:paraId="1505F2FA" w14:textId="77777777" w:rsidR="00B65CC6" w:rsidRPr="001D47EF" w:rsidRDefault="00B65CC6" w:rsidP="001D47EF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4BEE0DD1" w14:textId="44320BEA" w:rsidR="00B65CC6" w:rsidRPr="001D47EF" w:rsidRDefault="00B35972" w:rsidP="00A40989">
      <w:pPr>
        <w:spacing w:after="0"/>
        <w:jc w:val="both"/>
        <w:rPr>
          <w:rFonts w:cstheme="minorHAnsi"/>
          <w:b/>
          <w:sz w:val="24"/>
          <w:szCs w:val="24"/>
        </w:rPr>
      </w:pPr>
      <w:r w:rsidRPr="001D47EF">
        <w:rPr>
          <w:rFonts w:cstheme="minorHAnsi"/>
          <w:b/>
          <w:sz w:val="24"/>
          <w:szCs w:val="24"/>
        </w:rPr>
        <w:t>Postup rekonstituce a ředění</w:t>
      </w:r>
    </w:p>
    <w:p w14:paraId="10725A47" w14:textId="710A0C86" w:rsidR="0008442D" w:rsidRPr="00A40989" w:rsidRDefault="009E7285" w:rsidP="00A40989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8442D" w:rsidRPr="00A40989">
        <w:rPr>
          <w:rFonts w:cstheme="minorHAnsi"/>
          <w:sz w:val="24"/>
          <w:szCs w:val="24"/>
        </w:rPr>
        <w:t xml:space="preserve">bsahuje informace o </w:t>
      </w:r>
      <w:r w:rsidRPr="009E7285">
        <w:rPr>
          <w:rFonts w:cstheme="minorHAnsi"/>
          <w:sz w:val="24"/>
          <w:szCs w:val="24"/>
        </w:rPr>
        <w:t>způsobu,</w:t>
      </w:r>
      <w:r w:rsidR="0008442D" w:rsidRPr="00A40989">
        <w:rPr>
          <w:rFonts w:cstheme="minorHAnsi"/>
          <w:sz w:val="24"/>
          <w:szCs w:val="24"/>
        </w:rPr>
        <w:t xml:space="preserve"> jakým způsobem </w:t>
      </w:r>
      <w:r w:rsidR="00B16663" w:rsidRPr="00A40989">
        <w:rPr>
          <w:rFonts w:cstheme="minorHAnsi"/>
          <w:sz w:val="24"/>
          <w:szCs w:val="24"/>
        </w:rPr>
        <w:t>léčivý přípravek</w:t>
      </w:r>
      <w:r w:rsidR="0008442D" w:rsidRPr="00A40989">
        <w:rPr>
          <w:rFonts w:cstheme="minorHAnsi"/>
          <w:sz w:val="24"/>
          <w:szCs w:val="24"/>
        </w:rPr>
        <w:t xml:space="preserve"> připravit, aby mohl být podáván v injekční nebo </w:t>
      </w:r>
      <w:r w:rsidR="00583EE2" w:rsidRPr="00583EE2">
        <w:rPr>
          <w:rFonts w:cstheme="minorHAnsi"/>
          <w:sz w:val="24"/>
          <w:szCs w:val="24"/>
        </w:rPr>
        <w:t>infuzní</w:t>
      </w:r>
      <w:r w:rsidR="0008442D" w:rsidRPr="00A40989">
        <w:rPr>
          <w:rFonts w:cstheme="minorHAnsi"/>
          <w:sz w:val="24"/>
          <w:szCs w:val="24"/>
        </w:rPr>
        <w:t xml:space="preserve"> formě</w:t>
      </w:r>
      <w:r>
        <w:rPr>
          <w:rFonts w:cstheme="minorHAnsi"/>
          <w:sz w:val="24"/>
          <w:szCs w:val="24"/>
        </w:rPr>
        <w:t>;</w:t>
      </w:r>
    </w:p>
    <w:p w14:paraId="040D0A3B" w14:textId="108026F8" w:rsidR="009E7285" w:rsidRPr="00A40989" w:rsidRDefault="009E7285" w:rsidP="00A40989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8442D" w:rsidRPr="00A40989">
        <w:rPr>
          <w:rFonts w:cstheme="minorHAnsi"/>
          <w:sz w:val="24"/>
          <w:szCs w:val="24"/>
        </w:rPr>
        <w:t xml:space="preserve"> vybraných </w:t>
      </w:r>
      <w:r w:rsidR="00B16663" w:rsidRPr="00A40989">
        <w:rPr>
          <w:rFonts w:cstheme="minorHAnsi"/>
          <w:sz w:val="24"/>
          <w:szCs w:val="24"/>
        </w:rPr>
        <w:t>léčivých přípravků</w:t>
      </w:r>
      <w:r w:rsidR="0008442D" w:rsidRPr="00A40989">
        <w:rPr>
          <w:rFonts w:cstheme="minorHAnsi"/>
          <w:sz w:val="24"/>
          <w:szCs w:val="24"/>
        </w:rPr>
        <w:t xml:space="preserve"> je uvedena i konečná koncentrace roztoku</w:t>
      </w:r>
      <w:r w:rsidR="00A44D41" w:rsidRPr="00A40989">
        <w:rPr>
          <w:rFonts w:cstheme="minorHAnsi"/>
          <w:sz w:val="24"/>
          <w:szCs w:val="24"/>
        </w:rPr>
        <w:t>, pokud je uvedena v</w:t>
      </w:r>
      <w:r w:rsidR="00B16663" w:rsidRPr="00A40989">
        <w:rPr>
          <w:rFonts w:cstheme="minorHAnsi"/>
          <w:sz w:val="24"/>
          <w:szCs w:val="24"/>
        </w:rPr>
        <w:t> </w:t>
      </w:r>
      <w:r w:rsidR="00A44D41" w:rsidRPr="00A40989">
        <w:rPr>
          <w:rFonts w:cstheme="minorHAnsi"/>
          <w:sz w:val="24"/>
          <w:szCs w:val="24"/>
        </w:rPr>
        <w:t>SPC</w:t>
      </w:r>
      <w:r w:rsidR="00B16663" w:rsidRPr="00A40989">
        <w:rPr>
          <w:rFonts w:cstheme="minorHAnsi"/>
          <w:sz w:val="24"/>
          <w:szCs w:val="24"/>
        </w:rPr>
        <w:t>.</w:t>
      </w:r>
    </w:p>
    <w:p w14:paraId="05D7D265" w14:textId="77777777" w:rsidR="00E745C0" w:rsidRDefault="00E745C0" w:rsidP="00A4098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45D7D41" w14:textId="213B9535" w:rsidR="00B35972" w:rsidRPr="00A40989" w:rsidRDefault="00B35972" w:rsidP="00A40989">
      <w:pPr>
        <w:spacing w:after="0"/>
        <w:jc w:val="both"/>
        <w:rPr>
          <w:rFonts w:cstheme="minorHAnsi"/>
          <w:b/>
          <w:sz w:val="24"/>
          <w:szCs w:val="24"/>
        </w:rPr>
      </w:pPr>
      <w:r w:rsidRPr="00A40989">
        <w:rPr>
          <w:rFonts w:cstheme="minorHAnsi"/>
          <w:b/>
          <w:sz w:val="24"/>
          <w:szCs w:val="24"/>
        </w:rPr>
        <w:t>Délka podávání</w:t>
      </w:r>
    </w:p>
    <w:p w14:paraId="719B222B" w14:textId="4D312318" w:rsidR="00B35972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35972" w:rsidRPr="005F2AEF">
        <w:rPr>
          <w:rFonts w:cstheme="minorHAnsi"/>
          <w:sz w:val="24"/>
          <w:szCs w:val="24"/>
        </w:rPr>
        <w:t>vlášť uvedené injekční a infuzní podání</w:t>
      </w:r>
      <w:r w:rsidR="00B65CC6">
        <w:rPr>
          <w:rFonts w:cstheme="minorHAnsi"/>
          <w:sz w:val="24"/>
          <w:szCs w:val="24"/>
        </w:rPr>
        <w:t>.</w:t>
      </w:r>
    </w:p>
    <w:p w14:paraId="636428A2" w14:textId="77777777" w:rsidR="009E7285" w:rsidRDefault="009E7285" w:rsidP="00A4098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77AB99D" w14:textId="49191C6C" w:rsidR="00B35972" w:rsidRPr="005F2AEF" w:rsidRDefault="00B35972" w:rsidP="00A40989">
      <w:pPr>
        <w:spacing w:after="0"/>
        <w:jc w:val="both"/>
        <w:rPr>
          <w:rFonts w:cstheme="minorHAnsi"/>
          <w:b/>
          <w:sz w:val="24"/>
          <w:szCs w:val="24"/>
        </w:rPr>
      </w:pPr>
      <w:r w:rsidRPr="005F2AEF">
        <w:rPr>
          <w:rFonts w:cstheme="minorHAnsi"/>
          <w:b/>
          <w:sz w:val="24"/>
          <w:szCs w:val="24"/>
        </w:rPr>
        <w:t>Stabilita</w:t>
      </w:r>
    </w:p>
    <w:p w14:paraId="6A2FAEC0" w14:textId="393C0BEC" w:rsidR="00B35972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5F2AEF">
        <w:rPr>
          <w:rFonts w:cstheme="minorHAnsi"/>
          <w:sz w:val="24"/>
          <w:szCs w:val="24"/>
        </w:rPr>
        <w:t xml:space="preserve">veřejněna </w:t>
      </w:r>
      <w:r w:rsidR="00B35972" w:rsidRPr="005F2AEF">
        <w:rPr>
          <w:rFonts w:cstheme="minorHAnsi"/>
          <w:sz w:val="24"/>
          <w:szCs w:val="24"/>
        </w:rPr>
        <w:t>data o chemické (CHS), fyzikální (FS) a mikrobiologické stabilitě (MS).</w:t>
      </w:r>
    </w:p>
    <w:p w14:paraId="4CD9AE8F" w14:textId="77777777" w:rsidR="009E7285" w:rsidRDefault="009E7285" w:rsidP="00A4098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4FD91C" w14:textId="5DBA3D97" w:rsidR="00A44D41" w:rsidRPr="005F2AEF" w:rsidRDefault="00A44D41" w:rsidP="00A40989">
      <w:pPr>
        <w:spacing w:after="0"/>
        <w:jc w:val="both"/>
        <w:rPr>
          <w:rFonts w:cstheme="minorHAnsi"/>
          <w:b/>
          <w:sz w:val="24"/>
          <w:szCs w:val="24"/>
        </w:rPr>
      </w:pPr>
      <w:r w:rsidRPr="005F2AEF">
        <w:rPr>
          <w:rFonts w:cstheme="minorHAnsi"/>
          <w:b/>
          <w:sz w:val="24"/>
          <w:szCs w:val="24"/>
        </w:rPr>
        <w:t>Off-label informace, poznámky</w:t>
      </w:r>
    </w:p>
    <w:p w14:paraId="0C48ED74" w14:textId="7940A68C" w:rsidR="00B16663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F2AEF">
        <w:rPr>
          <w:rFonts w:cstheme="minorHAnsi"/>
          <w:sz w:val="24"/>
          <w:szCs w:val="24"/>
        </w:rPr>
        <w:t xml:space="preserve"> </w:t>
      </w:r>
      <w:r w:rsidR="00B16663" w:rsidRPr="005F2AEF">
        <w:rPr>
          <w:rFonts w:cstheme="minorHAnsi"/>
          <w:sz w:val="24"/>
          <w:szCs w:val="24"/>
        </w:rPr>
        <w:t>vybraných</w:t>
      </w:r>
      <w:r w:rsidR="00B35972" w:rsidRPr="005F2AEF">
        <w:rPr>
          <w:rFonts w:cstheme="minorHAnsi"/>
          <w:sz w:val="24"/>
          <w:szCs w:val="24"/>
        </w:rPr>
        <w:t xml:space="preserve"> léčivých přípravků přidána informace, zda je nutné naředěný roztok</w:t>
      </w:r>
      <w:r w:rsidR="004B62F4" w:rsidRPr="005F2AEF">
        <w:rPr>
          <w:rFonts w:cstheme="minorHAnsi"/>
          <w:sz w:val="24"/>
          <w:szCs w:val="24"/>
        </w:rPr>
        <w:t xml:space="preserve"> </w:t>
      </w:r>
      <w:r w:rsidR="00B35972" w:rsidRPr="005F2AEF">
        <w:rPr>
          <w:rFonts w:cstheme="minorHAnsi"/>
          <w:sz w:val="24"/>
          <w:szCs w:val="24"/>
        </w:rPr>
        <w:t>„chránit před světlem“ (např. Ketonal inj sol), či pozor na použití některých materiálů</w:t>
      </w:r>
      <w:r w:rsidR="004B62F4" w:rsidRPr="005F2AEF">
        <w:rPr>
          <w:rFonts w:cstheme="minorHAnsi"/>
          <w:sz w:val="24"/>
          <w:szCs w:val="24"/>
        </w:rPr>
        <w:t xml:space="preserve"> </w:t>
      </w:r>
      <w:r w:rsidR="00B35972" w:rsidRPr="005F2AEF">
        <w:rPr>
          <w:rFonts w:cstheme="minorHAnsi"/>
          <w:sz w:val="24"/>
          <w:szCs w:val="24"/>
        </w:rPr>
        <w:t>(sety, obaly), se kterými jsou daná léčiva nekompatibilní (např. Rivotril inj sol, Isoket</w:t>
      </w:r>
      <w:r w:rsidR="004B62F4" w:rsidRPr="005F2AEF">
        <w:rPr>
          <w:rFonts w:cstheme="minorHAnsi"/>
          <w:sz w:val="24"/>
          <w:szCs w:val="24"/>
        </w:rPr>
        <w:t xml:space="preserve"> i</w:t>
      </w:r>
      <w:r w:rsidR="00B35972" w:rsidRPr="005F2AEF">
        <w:rPr>
          <w:rFonts w:cstheme="minorHAnsi"/>
          <w:sz w:val="24"/>
          <w:szCs w:val="24"/>
        </w:rPr>
        <w:t>nf sol)</w:t>
      </w:r>
      <w:r w:rsidR="00B65CC6">
        <w:rPr>
          <w:rFonts w:cstheme="minorHAnsi"/>
          <w:sz w:val="24"/>
          <w:szCs w:val="24"/>
        </w:rPr>
        <w:t>;</w:t>
      </w:r>
    </w:p>
    <w:p w14:paraId="64CA2C4B" w14:textId="286632FC" w:rsidR="00B35972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35972" w:rsidRPr="00A40989">
        <w:rPr>
          <w:rFonts w:cstheme="minorHAnsi"/>
          <w:sz w:val="24"/>
          <w:szCs w:val="24"/>
        </w:rPr>
        <w:t>oznámk</w:t>
      </w:r>
      <w:r w:rsidR="00B16663" w:rsidRPr="00A40989">
        <w:rPr>
          <w:rFonts w:cstheme="minorHAnsi"/>
          <w:sz w:val="24"/>
          <w:szCs w:val="24"/>
        </w:rPr>
        <w:t>y</w:t>
      </w:r>
      <w:r w:rsidR="00B35972" w:rsidRPr="00A40989">
        <w:rPr>
          <w:rFonts w:cstheme="minorHAnsi"/>
          <w:sz w:val="24"/>
          <w:szCs w:val="24"/>
        </w:rPr>
        <w:t xml:space="preserve"> o nekompatibilitě s</w:t>
      </w:r>
      <w:r w:rsidR="005F2AEF">
        <w:rPr>
          <w:rFonts w:cstheme="minorHAnsi"/>
          <w:sz w:val="24"/>
          <w:szCs w:val="24"/>
        </w:rPr>
        <w:t xml:space="preserve"> </w:t>
      </w:r>
      <w:r w:rsidR="00B35972" w:rsidRPr="005F2AEF">
        <w:rPr>
          <w:rFonts w:cstheme="minorHAnsi"/>
          <w:sz w:val="24"/>
          <w:szCs w:val="24"/>
        </w:rPr>
        <w:t>některými ionty je navíc uvedena u ceftriaxonu</w:t>
      </w:r>
      <w:r w:rsidR="004B62F4" w:rsidRPr="005F2AEF">
        <w:rPr>
          <w:rFonts w:cstheme="minorHAnsi"/>
          <w:sz w:val="24"/>
          <w:szCs w:val="24"/>
        </w:rPr>
        <w:t xml:space="preserve"> </w:t>
      </w:r>
      <w:r w:rsidR="00B35972" w:rsidRPr="005F2AEF">
        <w:rPr>
          <w:rFonts w:cstheme="minorHAnsi"/>
          <w:sz w:val="24"/>
          <w:szCs w:val="24"/>
        </w:rPr>
        <w:t>a natrium hydrogenfosfátu</w:t>
      </w:r>
      <w:r w:rsidR="00B65CC6">
        <w:rPr>
          <w:rFonts w:cstheme="minorHAnsi"/>
          <w:sz w:val="24"/>
          <w:szCs w:val="24"/>
        </w:rPr>
        <w:t>;</w:t>
      </w:r>
    </w:p>
    <w:p w14:paraId="3B121914" w14:textId="2D874CF3" w:rsidR="00B16663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16663" w:rsidRPr="005F2AEF">
        <w:rPr>
          <w:rFonts w:cstheme="minorHAnsi"/>
          <w:sz w:val="24"/>
          <w:szCs w:val="24"/>
        </w:rPr>
        <w:t xml:space="preserve">nformace o stabilitě naředěných </w:t>
      </w:r>
      <w:r w:rsidR="00667DE9" w:rsidRPr="005F2AEF">
        <w:rPr>
          <w:rFonts w:cstheme="minorHAnsi"/>
          <w:sz w:val="24"/>
          <w:szCs w:val="24"/>
        </w:rPr>
        <w:t>infúzí u vybraných léčivých přípravků (informace od MAH)</w:t>
      </w:r>
      <w:r w:rsidR="00B65CC6">
        <w:rPr>
          <w:rFonts w:cstheme="minorHAnsi"/>
          <w:sz w:val="24"/>
          <w:szCs w:val="24"/>
        </w:rPr>
        <w:t>;</w:t>
      </w:r>
    </w:p>
    <w:p w14:paraId="4058FA51" w14:textId="4A69A4E7" w:rsidR="00667DE9" w:rsidRPr="005F2AEF" w:rsidRDefault="009E7285" w:rsidP="00A4098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67DE9" w:rsidRPr="005F2AEF">
        <w:rPr>
          <w:rFonts w:cstheme="minorHAnsi"/>
          <w:sz w:val="24"/>
          <w:szCs w:val="24"/>
        </w:rPr>
        <w:t xml:space="preserve">nformace o </w:t>
      </w:r>
      <w:r w:rsidRPr="009E7285">
        <w:rPr>
          <w:rFonts w:cstheme="minorHAnsi"/>
          <w:sz w:val="24"/>
          <w:szCs w:val="24"/>
        </w:rPr>
        <w:t>kompatibilitách</w:t>
      </w:r>
      <w:r w:rsidR="00667DE9" w:rsidRPr="005F2AEF">
        <w:rPr>
          <w:rFonts w:cstheme="minorHAnsi"/>
          <w:sz w:val="24"/>
          <w:szCs w:val="24"/>
        </w:rPr>
        <w:t xml:space="preserve"> s nosným roztokem u vybraných léčivých přípravků (výsledky rešerší pracovní skupiny)</w:t>
      </w:r>
      <w:r w:rsidR="00B65CC6">
        <w:rPr>
          <w:rFonts w:cstheme="minorHAnsi"/>
          <w:sz w:val="24"/>
          <w:szCs w:val="24"/>
        </w:rPr>
        <w:t>.</w:t>
      </w:r>
    </w:p>
    <w:p w14:paraId="5968F9E4" w14:textId="77777777" w:rsidR="009E7285" w:rsidRDefault="009E7285" w:rsidP="00A4098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087DE67" w14:textId="3F953041" w:rsidR="00667DE9" w:rsidRPr="005F2AEF" w:rsidRDefault="00667DE9" w:rsidP="00A40989">
      <w:pPr>
        <w:spacing w:after="0"/>
        <w:jc w:val="both"/>
        <w:rPr>
          <w:rFonts w:cstheme="minorHAnsi"/>
          <w:b/>
          <w:sz w:val="24"/>
          <w:szCs w:val="24"/>
        </w:rPr>
      </w:pPr>
      <w:r w:rsidRPr="005F2AEF">
        <w:rPr>
          <w:rFonts w:cstheme="minorHAnsi"/>
          <w:b/>
          <w:sz w:val="24"/>
          <w:szCs w:val="24"/>
        </w:rPr>
        <w:t>Datum revize textu</w:t>
      </w:r>
    </w:p>
    <w:p w14:paraId="676BDB40" w14:textId="71B247C7" w:rsidR="00667DE9" w:rsidRPr="005F2AEF" w:rsidRDefault="009E7285" w:rsidP="00A40989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67DE9" w:rsidRPr="005F2AEF">
        <w:rPr>
          <w:rFonts w:cstheme="minorHAnsi"/>
          <w:sz w:val="24"/>
          <w:szCs w:val="24"/>
        </w:rPr>
        <w:t>atum poslední revize SPC (bod 10)</w:t>
      </w:r>
      <w:r>
        <w:rPr>
          <w:rFonts w:cstheme="minorHAnsi"/>
          <w:sz w:val="24"/>
          <w:szCs w:val="24"/>
        </w:rPr>
        <w:t>, ke kterému se vztahují uvedená data</w:t>
      </w:r>
      <w:r w:rsidR="00B65CC6">
        <w:rPr>
          <w:rFonts w:cstheme="minorHAnsi"/>
          <w:sz w:val="24"/>
          <w:szCs w:val="24"/>
        </w:rPr>
        <w:t>.</w:t>
      </w:r>
    </w:p>
    <w:p w14:paraId="2FC70B2E" w14:textId="77777777" w:rsidR="004B62F4" w:rsidRPr="005F2AEF" w:rsidRDefault="004B62F4" w:rsidP="00A40989">
      <w:pPr>
        <w:spacing w:after="0"/>
        <w:jc w:val="both"/>
        <w:rPr>
          <w:rFonts w:cstheme="minorHAnsi"/>
          <w:sz w:val="24"/>
          <w:szCs w:val="24"/>
        </w:rPr>
      </w:pPr>
    </w:p>
    <w:p w14:paraId="3EEDEC99" w14:textId="69126215" w:rsidR="002E6113" w:rsidRPr="005F2AEF" w:rsidRDefault="00B35972" w:rsidP="005F2AEF">
      <w:pPr>
        <w:spacing w:after="0"/>
        <w:jc w:val="both"/>
        <w:rPr>
          <w:rFonts w:cstheme="minorHAnsi"/>
        </w:rPr>
      </w:pPr>
      <w:r w:rsidRPr="005F2AEF">
        <w:rPr>
          <w:rFonts w:cstheme="minorHAnsi"/>
          <w:sz w:val="24"/>
          <w:szCs w:val="24"/>
        </w:rPr>
        <w:t xml:space="preserve">Aktualizace: </w:t>
      </w:r>
      <w:r w:rsidR="00667DE9" w:rsidRPr="005F2AEF">
        <w:rPr>
          <w:rFonts w:cstheme="minorHAnsi"/>
          <w:sz w:val="24"/>
          <w:szCs w:val="24"/>
        </w:rPr>
        <w:t>20.</w:t>
      </w:r>
      <w:r w:rsidR="009E7285">
        <w:rPr>
          <w:rFonts w:cstheme="minorHAnsi"/>
          <w:sz w:val="24"/>
          <w:szCs w:val="24"/>
        </w:rPr>
        <w:t xml:space="preserve"> </w:t>
      </w:r>
      <w:r w:rsidR="00667DE9" w:rsidRPr="005F2AEF">
        <w:rPr>
          <w:rFonts w:cstheme="minorHAnsi"/>
          <w:sz w:val="24"/>
          <w:szCs w:val="24"/>
        </w:rPr>
        <w:t>02.</w:t>
      </w:r>
      <w:r w:rsidR="009E7285">
        <w:rPr>
          <w:rFonts w:cstheme="minorHAnsi"/>
          <w:sz w:val="24"/>
          <w:szCs w:val="24"/>
        </w:rPr>
        <w:t xml:space="preserve"> </w:t>
      </w:r>
      <w:r w:rsidR="00667DE9" w:rsidRPr="005F2AEF">
        <w:rPr>
          <w:rFonts w:cstheme="minorHAnsi"/>
          <w:sz w:val="24"/>
          <w:szCs w:val="24"/>
        </w:rPr>
        <w:t>2024</w:t>
      </w:r>
    </w:p>
    <w:sectPr w:rsidR="002E6113" w:rsidRPr="005F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92D29D" w16cex:dateUtc="2024-03-04T19:48:00Z"/>
  <w16cex:commentExtensible w16cex:durableId="72BD2AF1" w16cex:dateUtc="2024-03-04T19:50:00Z"/>
  <w16cex:commentExtensible w16cex:durableId="37453E92" w16cex:dateUtc="2024-02-20T16:22:00Z"/>
  <w16cex:commentExtensible w16cex:durableId="521545BA" w16cex:dateUtc="2024-03-04T19:47:00Z"/>
  <w16cex:commentExtensible w16cex:durableId="6353D270" w16cex:dateUtc="2024-02-20T16:28:00Z"/>
  <w16cex:commentExtensible w16cex:durableId="30C71350" w16cex:dateUtc="2024-03-04T19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188"/>
    <w:multiLevelType w:val="hybridMultilevel"/>
    <w:tmpl w:val="8884D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D3E25"/>
    <w:multiLevelType w:val="hybridMultilevel"/>
    <w:tmpl w:val="61628278"/>
    <w:lvl w:ilvl="0" w:tplc="1AD48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614"/>
    <w:multiLevelType w:val="hybridMultilevel"/>
    <w:tmpl w:val="61DE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6B05"/>
    <w:multiLevelType w:val="hybridMultilevel"/>
    <w:tmpl w:val="853C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4399"/>
    <w:multiLevelType w:val="hybridMultilevel"/>
    <w:tmpl w:val="2556A098"/>
    <w:lvl w:ilvl="0" w:tplc="1AD48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3D50"/>
    <w:multiLevelType w:val="hybridMultilevel"/>
    <w:tmpl w:val="C424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F1B"/>
    <w:multiLevelType w:val="hybridMultilevel"/>
    <w:tmpl w:val="AB9E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5E38"/>
    <w:multiLevelType w:val="hybridMultilevel"/>
    <w:tmpl w:val="BC848CA8"/>
    <w:lvl w:ilvl="0" w:tplc="B69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72"/>
    <w:rsid w:val="0008442D"/>
    <w:rsid w:val="001D47EF"/>
    <w:rsid w:val="002E6113"/>
    <w:rsid w:val="003E5D31"/>
    <w:rsid w:val="003F78A6"/>
    <w:rsid w:val="004215A9"/>
    <w:rsid w:val="004A2519"/>
    <w:rsid w:val="004B62F4"/>
    <w:rsid w:val="00583EE2"/>
    <w:rsid w:val="005F2AEF"/>
    <w:rsid w:val="00667DE9"/>
    <w:rsid w:val="00780C88"/>
    <w:rsid w:val="00811E4F"/>
    <w:rsid w:val="00951E00"/>
    <w:rsid w:val="009830C8"/>
    <w:rsid w:val="0099290A"/>
    <w:rsid w:val="009A3A0F"/>
    <w:rsid w:val="009E7285"/>
    <w:rsid w:val="00A40989"/>
    <w:rsid w:val="00A44D41"/>
    <w:rsid w:val="00B16663"/>
    <w:rsid w:val="00B35972"/>
    <w:rsid w:val="00B65CC6"/>
    <w:rsid w:val="00BC49E6"/>
    <w:rsid w:val="00BE2652"/>
    <w:rsid w:val="00C92331"/>
    <w:rsid w:val="00DA0C6E"/>
    <w:rsid w:val="00E03FCF"/>
    <w:rsid w:val="00E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DBD"/>
  <w15:docId w15:val="{AD9F1E25-E5AB-418C-A9A4-200BD9A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972"/>
    <w:pPr>
      <w:ind w:left="720"/>
      <w:contextualSpacing/>
    </w:pPr>
  </w:style>
  <w:style w:type="paragraph" w:styleId="Revize">
    <w:name w:val="Revision"/>
    <w:hidden/>
    <w:uiPriority w:val="99"/>
    <w:semiHidden/>
    <w:rsid w:val="00BE26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65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5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5D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5D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Lúca</dc:creator>
  <cp:lastModifiedBy>Mgr. Lucie Polášková</cp:lastModifiedBy>
  <cp:revision>2</cp:revision>
  <dcterms:created xsi:type="dcterms:W3CDTF">2024-03-05T13:45:00Z</dcterms:created>
  <dcterms:modified xsi:type="dcterms:W3CDTF">2024-03-05T13:45:00Z</dcterms:modified>
</cp:coreProperties>
</file>